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to "</w:t>
      </w:r>
      <w:r>
        <w:rPr>
          <w:b/>
        </w:rPr>
        <w:t>writing</w:t>
      </w:r>
      <w: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means the costs incurred by CCS in dealing with MI Failures calculated in accordance with the tariff of administration charges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 xml:space="preserve">verify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 xml:space="preserve">obtain such information as is necessary to fulfil the Relevant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 xml:space="preserve">review any books of account and the internal contract management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 xml:space="preserve">enable the National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 xml:space="preserve">successors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 xml:space="preserve">Non-Departmental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conflict between the financial or personal duties of the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 xml:space="preserve">a) the cost to the Supplier or the Key Subcontractor (as the context requires), calculated per Man Day,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 xml:space="preserve">staff training; vii)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 xml:space="preserve">operational costs which are not included within (a) or (b) above, to the extent that such costs are necessary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 xml:space="preserve">fines and penalties;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"Deductions"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will be unavailable (or could reasonably be anticipated to be unavailable) for the period specified in the Order Form (for the purposes of this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rsidR="005F0F9E" w:rsidRDefault="00F139A1">
            <w:pPr>
              <w:numPr>
                <w:ilvl w:val="0"/>
                <w:numId w:val="9"/>
              </w:numPr>
              <w:spacing w:after="120" w:line="240" w:lineRule="auto"/>
              <w:ind w:right="35" w:hanging="289"/>
            </w:pPr>
            <w:r>
              <w:t xml:space="preserve">would reasonably be required by a competent third party capable of Good Industry Practice contracted by the Buyer to develop, configure, build, deploy, run, maintain,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application submitted by the Supplier to CCS and annexed to or referred to in DPS Schedule 2 (DPS Application);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contractual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information supplied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 xml:space="preserve">acts, events, omissions, happenings or non-happenings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any industrial dispute relating to the Supplier, the Supplier Staff (including any subsets of them) or any other failure in the </w:t>
            </w:r>
          </w:p>
          <w:p w:rsidR="005F0F9E" w:rsidRDefault="00F139A1">
            <w:pPr>
              <w:spacing w:after="80" w:line="275" w:lineRule="auto"/>
              <w:ind w:left="541" w:right="67" w:firstLine="0"/>
              <w:jc w:val="right"/>
            </w:pPr>
            <w:r>
              <w:t xml:space="preserve">Supplier or the Subcontractor's supply chain;  ii) any event, occurrence, circumstance, matter or cause which is attributable to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 xml:space="preserve">a) goods made available by the Supplier as specified in DPS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 xml:space="preserve">i) are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 xml:space="preserve">Contract;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 xml:space="preserve">such other information as the Relevant Authority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plan for provision of the Deliverables set out in Order Schedule 13 (Implementation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initial term of a Contract specified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 xml:space="preserve">an application is made either for the appointment of an administrator or for an administration order, an administrator is appointed,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being a "small company" within the meaning of section 382(3) of the Companies Act 2006, a moratorium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 xml:space="preserve">a) copyright, rights related to or affording protection similar to copyright, rights in databases, patents and rights in inventions, semi-conductor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 xml:space="preserve">all other rights having equivalent or similar effect in any country or jurisdiction;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 xml:space="preserve">the off-payroll rules requiring individuals who work through their company pay the same tax and National Insurance contributions as an employee which can be found online at: </w:t>
            </w:r>
          </w:p>
          <w:p w:rsidR="005F0F9E" w:rsidRDefault="00BC3107">
            <w:pPr>
              <w:spacing w:after="0" w:line="259" w:lineRule="auto"/>
              <w:ind w:left="278" w:right="0" w:firstLine="0"/>
              <w:jc w:val="left"/>
            </w:pPr>
            <w:hyperlink r:id="rId23">
              <w:r w:rsidR="00F139A1">
                <w:rPr>
                  <w:color w:val="0000FF"/>
                  <w:u w:val="single" w:color="0000FF"/>
                </w:rPr>
                <w:t>https://www.gov.uk/guidance/ir35</w:t>
              </w:r>
            </w:hyperlink>
            <w:hyperlink r:id="rId24">
              <w:r w:rsidR="00F139A1">
                <w:rPr>
                  <w:color w:val="0000FF"/>
                  <w:u w:val="single" w:color="0000FF"/>
                </w:rPr>
                <w:t>-</w:t>
              </w:r>
            </w:hyperlink>
            <w:hyperlink r:id="rId25">
              <w:r w:rsidR="00F139A1">
                <w:rPr>
                  <w:color w:val="0000FF"/>
                  <w:u w:val="single" w:color="0000FF"/>
                </w:rPr>
                <w:t>find</w:t>
              </w:r>
            </w:hyperlink>
            <w:hyperlink r:id="rId26">
              <w:r w:rsidR="00F139A1">
                <w:rPr>
                  <w:color w:val="0000FF"/>
                  <w:u w:val="single" w:color="0000FF"/>
                </w:rPr>
                <w:t>-</w:t>
              </w:r>
            </w:hyperlink>
            <w:hyperlink r:id="rId27">
              <w:r w:rsidR="00F139A1">
                <w:rPr>
                  <w:color w:val="0000FF"/>
                  <w:u w:val="single" w:color="0000FF"/>
                </w:rPr>
                <w:t>out</w:t>
              </w:r>
            </w:hyperlink>
            <w:hyperlink r:id="rId28">
              <w:r w:rsidR="00F139A1">
                <w:rPr>
                  <w:color w:val="0000FF"/>
                  <w:u w:val="single" w:color="0000FF"/>
                </w:rPr>
                <w:t>-</w:t>
              </w:r>
            </w:hyperlink>
            <w:hyperlink r:id="rId29">
              <w:r w:rsidR="00F139A1">
                <w:rPr>
                  <w:color w:val="0000FF"/>
                  <w:u w:val="single" w:color="0000FF"/>
                </w:rPr>
                <w:t>if</w:t>
              </w:r>
            </w:hyperlink>
            <w:hyperlink r:id="rId30">
              <w:r w:rsidR="00F139A1">
                <w:rPr>
                  <w:color w:val="0000FF"/>
                  <w:u w:val="single" w:color="0000FF"/>
                </w:rPr>
                <w:t>-</w:t>
              </w:r>
            </w:hyperlink>
            <w:hyperlink r:id="rId31">
              <w:r w:rsidR="00F139A1">
                <w:rPr>
                  <w:color w:val="0000FF"/>
                  <w:u w:val="single" w:color="0000FF"/>
                </w:rPr>
                <w:t>it</w:t>
              </w:r>
            </w:hyperlink>
            <w:hyperlink r:id="rId32">
              <w:r w:rsidR="00F139A1">
                <w:rPr>
                  <w:color w:val="0000FF"/>
                  <w:u w:val="single" w:color="0000FF"/>
                </w:rPr>
                <w:t>-</w:t>
              </w:r>
            </w:hyperlink>
            <w:hyperlink r:id="rId33">
              <w:r w:rsidR="00F139A1">
                <w:rPr>
                  <w:color w:val="0000FF"/>
                  <w:u w:val="single" w:color="0000FF"/>
                </w:rPr>
                <w:t>applies</w:t>
              </w:r>
            </w:hyperlink>
            <w:hyperlink r:id="rId34">
              <w:r w:rsidR="00F139A1">
                <w:t>;</w:t>
              </w:r>
            </w:hyperlink>
            <w:r w:rsidR="00F139A1">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agreement (if any) entered into between the Relevant 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 xml:space="preserve">with a Sub-Contract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 xml:space="preserve">IPR in or arising as a result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 xml:space="preserve">manpower resources broken down into the number and grade/role of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 xml:space="preserve">an explanation of the type and value of risk and contingencies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actual or potential Buyer under the DPS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takes its natural meaning as interpreted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 legal adviser, an MP or an appropriate body which a whistle-blower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 xml:space="preserve">to directly or indirectly request, agree to receive or accept any financial or other advantage as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 xml:space="preserve">any activity, practice or conduct which would constitute one of the offences listed under (c) above if such activity,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 xml:space="preserve">Schedule 9 (Security), if applicable, in the case of an Order Contract;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Supplier’s plan (or revised plan) to rectify its breach using the template in Joint Schedule 10 (Rectification Plan Template)which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Process"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 xml:space="preserve">Buyer otherwise agrees in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 xml:space="preserve">any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 xml:space="preserve">Authority’s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insurances required by Joint Schedule 3 (Insurance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"Sites"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 xml:space="preserve">a) a statement issued by the Buyer detailing its requirements in respect of Deliverables issued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 xml:space="preserve">any information, however it is conveyed, that relates to the business, affairs,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 xml:space="preserve">a) in relation to a period or a Milestone (as the context requires), the </w:t>
            </w:r>
          </w:p>
          <w:p w:rsidR="005F0F9E" w:rsidRDefault="00F139A1">
            <w:pPr>
              <w:spacing w:after="0" w:line="259" w:lineRule="auto"/>
              <w:ind w:left="685" w:right="69" w:firstLine="0"/>
            </w:pPr>
            <w:r>
              <w:t xml:space="preserve">Supplier Profit for the relevant period or in relation to the relevant Milestone divided by the total Charges over the same period or in relation to the relevant Milestone and expressed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 xml:space="preserve">any information which is exempt from disclosure in accordance with the provisions of the FOIA, which shall be determined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 xml:space="preserve">(https://www.gov.uk/government/publications/procurement-policynote-0815-tax-arrangements-of-appointees)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107" w:rsidRDefault="00BC3107">
      <w:pPr>
        <w:spacing w:after="0" w:line="240" w:lineRule="auto"/>
      </w:pPr>
      <w:r>
        <w:separator/>
      </w:r>
    </w:p>
  </w:endnote>
  <w:endnote w:type="continuationSeparator" w:id="0">
    <w:p w:rsidR="00BC3107" w:rsidRDefault="00BC3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107" w:rsidRDefault="00BC3107">
      <w:pPr>
        <w:spacing w:after="0" w:line="240" w:lineRule="auto"/>
      </w:pPr>
      <w:r>
        <w:separator/>
      </w:r>
    </w:p>
  </w:footnote>
  <w:footnote w:type="continuationSeparator" w:id="0">
    <w:p w:rsidR="00BC3107" w:rsidRDefault="00BC3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7C5A90"/>
    <w:rsid w:val="00BC3107"/>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gov.uk/guidance/ir35-find-out-if-it-applies" TargetMode="External"/><Relationship Id="rId39" Type="http://schemas.openxmlformats.org/officeDocument/2006/relationships/hyperlink" Target="https://www.gov.uk/government/publications/blowing-the-whistle-list-of-prescribed-people-and-bodies--2/whistleblowing-list-of-prescribed-people-and-bodies" TargetMode="External"/><Relationship Id="rId21" Type="http://schemas.openxmlformats.org/officeDocument/2006/relationships/image" Target="media/image15.png"/><Relationship Id="rId34" Type="http://schemas.openxmlformats.org/officeDocument/2006/relationships/hyperlink" Target="https://www.gov.uk/guidance/ir35-find-out-if-it-applies" TargetMode="External"/><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gov.uk/guidance/ir35-find-out-if-it-applies" TargetMode="External"/><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6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Matthew Turner</cp:lastModifiedBy>
  <cp:revision>2</cp:revision>
  <dcterms:created xsi:type="dcterms:W3CDTF">2023-10-31T12:55:00Z</dcterms:created>
  <dcterms:modified xsi:type="dcterms:W3CDTF">2023-10-31T12:55:00Z</dcterms:modified>
</cp:coreProperties>
</file>